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Garamond" w:cs="Garamond" w:eastAsia="Garamond" w:hAnsi="Garamond"/>
          <w:b w:val="1"/>
          <w:color w:val="1c45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1"/>
          <w:color w:val="1c4587"/>
          <w:sz w:val="48"/>
          <w:szCs w:val="48"/>
        </w:rPr>
      </w:pPr>
      <w:r w:rsidDel="00000000" w:rsidR="00000000" w:rsidRPr="00000000">
        <w:rPr>
          <w:rFonts w:ascii="Garamond" w:cs="Garamond" w:eastAsia="Garamond" w:hAnsi="Garamond"/>
          <w:b w:val="1"/>
          <w:color w:val="1c4587"/>
          <w:sz w:val="48"/>
          <w:szCs w:val="48"/>
          <w:rtl w:val="0"/>
        </w:rPr>
        <w:t xml:space="preserve">Telemedicine Implementation Guideline</w:t>
      </w:r>
    </w:p>
    <w:p w:rsidR="00000000" w:rsidDel="00000000" w:rsidP="00000000" w:rsidRDefault="00000000" w:rsidRPr="00000000" w14:paraId="00000003">
      <w:pPr>
        <w:jc w:val="center"/>
        <w:rPr>
          <w:rFonts w:ascii="Garamond" w:cs="Garamond" w:eastAsia="Garamond" w:hAnsi="Garamond"/>
          <w:b w:val="1"/>
          <w:color w:val="1c4587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color w:val="1c4587"/>
          <w:sz w:val="36"/>
          <w:szCs w:val="36"/>
          <w:rtl w:val="0"/>
        </w:rPr>
        <w:t xml:space="preserve">Beyond the Pandemic - Get it Right! The first time</w:t>
      </w:r>
    </w:p>
    <w:p w:rsidR="00000000" w:rsidDel="00000000" w:rsidP="00000000" w:rsidRDefault="00000000" w:rsidRPr="00000000" w14:paraId="00000004">
      <w:pPr>
        <w:jc w:val="left"/>
        <w:rPr>
          <w:rFonts w:ascii="Garamond" w:cs="Garamond" w:eastAsia="Garamond" w:hAnsi="Garamond"/>
          <w:b w:val="1"/>
          <w:color w:val="1c4587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Garamond" w:cs="Garamond" w:eastAsia="Garamond" w:hAnsi="Garamond"/>
          <w:b w:val="1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Table of Contents</w:t>
      </w: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rtl w:val="0"/>
        </w:rPr>
        <w:t xml:space="preserve">:</w:t>
      </w:r>
    </w:p>
    <w:p w:rsidR="00000000" w:rsidDel="00000000" w:rsidP="00000000" w:rsidRDefault="00000000" w:rsidRPr="00000000" w14:paraId="00000006">
      <w:pPr>
        <w:jc w:val="left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Telemedicine Advantage</w:t>
      </w:r>
    </w:p>
    <w:p w:rsidR="00000000" w:rsidDel="00000000" w:rsidP="00000000" w:rsidRDefault="00000000" w:rsidRPr="00000000" w14:paraId="00000008">
      <w:pPr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Telemedicine Basic Terminology</w:t>
      </w:r>
    </w:p>
    <w:p w:rsidR="00000000" w:rsidDel="00000000" w:rsidP="00000000" w:rsidRDefault="00000000" w:rsidRPr="00000000" w14:paraId="00000009">
      <w:pPr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Setting Up Telemedicine</w:t>
      </w:r>
    </w:p>
    <w:p w:rsidR="00000000" w:rsidDel="00000000" w:rsidP="00000000" w:rsidRDefault="00000000" w:rsidRPr="00000000" w14:paraId="0000000A">
      <w:pPr>
        <w:ind w:firstLine="720"/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Platform Choice factors to consider:</w:t>
      </w:r>
    </w:p>
    <w:p w:rsidR="00000000" w:rsidDel="00000000" w:rsidP="00000000" w:rsidRDefault="00000000" w:rsidRPr="00000000" w14:paraId="0000000B">
      <w:pPr>
        <w:ind w:firstLine="720"/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Legal Considerations</w:t>
      </w:r>
    </w:p>
    <w:p w:rsidR="00000000" w:rsidDel="00000000" w:rsidP="00000000" w:rsidRDefault="00000000" w:rsidRPr="00000000" w14:paraId="0000000C">
      <w:pPr>
        <w:ind w:firstLine="720"/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Other Restrictions/Considerations</w:t>
      </w:r>
    </w:p>
    <w:p w:rsidR="00000000" w:rsidDel="00000000" w:rsidP="00000000" w:rsidRDefault="00000000" w:rsidRPr="00000000" w14:paraId="0000000D">
      <w:pPr>
        <w:ind w:firstLine="720"/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Reimbursement</w:t>
      </w:r>
    </w:p>
    <w:p w:rsidR="00000000" w:rsidDel="00000000" w:rsidP="00000000" w:rsidRDefault="00000000" w:rsidRPr="00000000" w14:paraId="0000000E">
      <w:pPr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Telemedicine Exam</w:t>
      </w:r>
    </w:p>
    <w:p w:rsidR="00000000" w:rsidDel="00000000" w:rsidP="00000000" w:rsidRDefault="00000000" w:rsidRPr="00000000" w14:paraId="0000000F">
      <w:pPr>
        <w:ind w:left="720" w:firstLine="0"/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Initial Salutation</w:t>
      </w:r>
    </w:p>
    <w:p w:rsidR="00000000" w:rsidDel="00000000" w:rsidP="00000000" w:rsidRDefault="00000000" w:rsidRPr="00000000" w14:paraId="00000010">
      <w:pPr>
        <w:ind w:left="720" w:firstLine="0"/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Consent</w:t>
      </w:r>
    </w:p>
    <w:p w:rsidR="00000000" w:rsidDel="00000000" w:rsidP="00000000" w:rsidRDefault="00000000" w:rsidRPr="00000000" w14:paraId="00000011">
      <w:pPr>
        <w:ind w:left="720" w:firstLine="0"/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Telemedicine Exam</w:t>
      </w:r>
    </w:p>
    <w:p w:rsidR="00000000" w:rsidDel="00000000" w:rsidP="00000000" w:rsidRDefault="00000000" w:rsidRPr="00000000" w14:paraId="00000012">
      <w:pPr>
        <w:ind w:left="1440" w:firstLine="0"/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General guidelines</w:t>
      </w:r>
    </w:p>
    <w:p w:rsidR="00000000" w:rsidDel="00000000" w:rsidP="00000000" w:rsidRDefault="00000000" w:rsidRPr="00000000" w14:paraId="00000013">
      <w:pPr>
        <w:ind w:left="1440" w:firstLine="0"/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Limitations of Clinical Exam</w:t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Coding and Billing for Telehealth Visit</w:t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Telehealth resources</w:t>
      </w:r>
    </w:p>
    <w:p w:rsidR="00000000" w:rsidDel="00000000" w:rsidP="00000000" w:rsidRDefault="00000000" w:rsidRPr="00000000" w14:paraId="00000016">
      <w:pPr>
        <w:jc w:val="left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Garamond" w:cs="Garamond" w:eastAsia="Garamond" w:hAnsi="Garamond"/>
          <w:b w:val="1"/>
          <w:color w:val="1c4587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Garamond" w:cs="Garamond" w:eastAsia="Garamond" w:hAnsi="Garamond"/>
          <w:b w:val="1"/>
          <w:color w:val="1c4587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color w:val="1c4587"/>
          <w:sz w:val="32"/>
          <w:szCs w:val="32"/>
          <w:rtl w:val="0"/>
        </w:rPr>
        <w:t xml:space="preserve">Telemedicine Advantage</w:t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Flexible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Inpatient, Outpatient, Home*, School, Daycare you name it</w:t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Scalable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Geographic and Peak load distribution, Backup built in</w:t>
      </w:r>
    </w:p>
    <w:p w:rsidR="00000000" w:rsidDel="00000000" w:rsidP="00000000" w:rsidRDefault="00000000" w:rsidRPr="00000000" w14:paraId="0000001B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Convenient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Patient love the convenience of not traveling, especially millennials</w:t>
      </w:r>
    </w:p>
    <w:p w:rsidR="00000000" w:rsidDel="00000000" w:rsidP="00000000" w:rsidRDefault="00000000" w:rsidRPr="00000000" w14:paraId="0000001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Future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Covid-19 pandemic moved the adoption curve by a decade and now it is here to stay</w:t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1c4587"/>
          <w:sz w:val="32"/>
          <w:szCs w:val="32"/>
          <w:rtl w:val="0"/>
        </w:rPr>
        <w:t xml:space="preserve">Telemedicine Basic Terminology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Telehealth visit (Synchronous)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Live real-time audio/video encounter; most common synchronous visit</w:t>
      </w:r>
    </w:p>
    <w:p w:rsidR="00000000" w:rsidDel="00000000" w:rsidP="00000000" w:rsidRDefault="00000000" w:rsidRPr="00000000" w14:paraId="00000020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Store-and-Forward (Asynchronous)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Telecommunication encounter most commonly used in radiology, pathology, dermatology, and ophthalmology to reduce access limitations to specialists. </w:t>
      </w:r>
    </w:p>
    <w:p w:rsidR="00000000" w:rsidDel="00000000" w:rsidP="00000000" w:rsidRDefault="00000000" w:rsidRPr="00000000" w14:paraId="0000002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eVisit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Telecommunication encounter that does not require an exam (non face-to-face)</w:t>
      </w:r>
    </w:p>
    <w:p w:rsidR="00000000" w:rsidDel="00000000" w:rsidP="00000000" w:rsidRDefault="00000000" w:rsidRPr="00000000" w14:paraId="00000022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Garamond" w:cs="Garamond" w:eastAsia="Garamond" w:hAnsi="Garamond"/>
          <w:b w:val="1"/>
          <w:color w:val="1c4587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color w:val="1c4587"/>
          <w:sz w:val="32"/>
          <w:szCs w:val="32"/>
          <w:rtl w:val="0"/>
        </w:rPr>
        <w:t xml:space="preserve">Setting Up Telemedicine</w:t>
      </w:r>
    </w:p>
    <w:p w:rsidR="00000000" w:rsidDel="00000000" w:rsidP="00000000" w:rsidRDefault="00000000" w:rsidRPr="00000000" w14:paraId="00000024">
      <w:pPr>
        <w:jc w:val="left"/>
        <w:rPr>
          <w:rFonts w:ascii="Garamond" w:cs="Garamond" w:eastAsia="Garamond" w:hAnsi="Garamond"/>
          <w:b w:val="1"/>
          <w:color w:val="99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990000"/>
          <w:sz w:val="24"/>
          <w:szCs w:val="24"/>
          <w:rtl w:val="0"/>
        </w:rPr>
        <w:t xml:space="preserve">Platform Choice factors to consider:</w:t>
      </w:r>
    </w:p>
    <w:p w:rsidR="00000000" w:rsidDel="00000000" w:rsidP="00000000" w:rsidRDefault="00000000" w:rsidRPr="00000000" w14:paraId="00000025">
      <w:pPr>
        <w:jc w:val="left"/>
        <w:rPr>
          <w:rFonts w:ascii="Garamond" w:cs="Garamond" w:eastAsia="Garamond" w:hAnsi="Garamond"/>
          <w:b w:val="1"/>
          <w:color w:val="274e13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Hardware: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Quality but not costly, pay more attention to technical support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Garamond" w:cs="Garamond" w:eastAsia="Garamond" w:hAnsi="Garamond"/>
          <w:b w:val="1"/>
          <w:color w:val="274e13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Software: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is the key to success; a robust platform that regular updates is crucial.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aramond" w:cs="Garamond" w:eastAsia="Garamond" w:hAnsi="Garamond"/>
          <w:b w:val="1"/>
          <w:color w:val="274e13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Interoperability: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will soon be the norm and platform is committed to support multiple EMRs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rFonts w:ascii="Garamond" w:cs="Garamond" w:eastAsia="Garamond" w:hAnsi="Garamond"/>
          <w:b w:val="1"/>
          <w:color w:val="274e13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365/24/7: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Technical Support is absolutely critical as technology failures are not uncommon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HIPAA Compliance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Invest in a true HIPAA compliant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User experience/ease of use: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End User experience is key for telehealth both for patients and providers</w:t>
      </w:r>
    </w:p>
    <w:p w:rsidR="00000000" w:rsidDel="00000000" w:rsidP="00000000" w:rsidRDefault="00000000" w:rsidRPr="00000000" w14:paraId="0000002B">
      <w:pPr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OS Agnostic</w:t>
      </w:r>
      <w:r w:rsidDel="00000000" w:rsidR="00000000" w:rsidRPr="00000000">
        <w:rPr>
          <w:rFonts w:ascii="Garamond" w:cs="Garamond" w:eastAsia="Garamond" w:hAnsi="Garamond"/>
          <w:color w:val="274e13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Progressive web apps or true browser based solutions are preferred as your patients may be on different operating systems.   </w:t>
      </w:r>
    </w:p>
    <w:p w:rsidR="00000000" w:rsidDel="00000000" w:rsidP="00000000" w:rsidRDefault="00000000" w:rsidRPr="00000000" w14:paraId="0000002C">
      <w:pPr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rFonts w:ascii="Garamond" w:cs="Garamond" w:eastAsia="Garamond" w:hAnsi="Garamond"/>
          <w:b w:val="1"/>
          <w:color w:val="99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990000"/>
          <w:sz w:val="24"/>
          <w:szCs w:val="24"/>
          <w:rtl w:val="0"/>
        </w:rPr>
        <w:t xml:space="preserve">Legal Considerations</w:t>
      </w:r>
    </w:p>
    <w:p w:rsidR="00000000" w:rsidDel="00000000" w:rsidP="00000000" w:rsidRDefault="00000000" w:rsidRPr="00000000" w14:paraId="0000002E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HIPAA Compliance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Invest in a true HIPPA compliant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State Licensure &amp; Regulation</w:t>
      </w:r>
      <w:r w:rsidDel="00000000" w:rsidR="00000000" w:rsidRPr="00000000">
        <w:rPr>
          <w:rFonts w:ascii="Garamond" w:cs="Garamond" w:eastAsia="Garamond" w:hAnsi="Garamond"/>
          <w:color w:val="274e13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Make sure you adhere to state level policies as well federal level (medicaid)</w:t>
      </w:r>
    </w:p>
    <w:p w:rsidR="00000000" w:rsidDel="00000000" w:rsidP="00000000" w:rsidRDefault="00000000" w:rsidRPr="00000000" w14:paraId="00000030">
      <w:pPr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Malpractice Insurance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Notify your malpractice carrier about this new modality of care. Some carriers need additional information and rates may be adjusted</w:t>
      </w:r>
    </w:p>
    <w:p w:rsidR="00000000" w:rsidDel="00000000" w:rsidP="00000000" w:rsidRDefault="00000000" w:rsidRPr="00000000" w14:paraId="00000031">
      <w:pPr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Garamond" w:cs="Garamond" w:eastAsia="Garamond" w:hAnsi="Garamond"/>
          <w:b w:val="1"/>
          <w:color w:val="99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990000"/>
          <w:sz w:val="24"/>
          <w:szCs w:val="24"/>
          <w:rtl w:val="0"/>
        </w:rPr>
        <w:t xml:space="preserve">Other Restrictions/Considerations</w:t>
      </w:r>
    </w:p>
    <w:p w:rsidR="00000000" w:rsidDel="00000000" w:rsidP="00000000" w:rsidRDefault="00000000" w:rsidRPr="00000000" w14:paraId="00000033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Pateint’s Originating Site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Technically home visits are allowed for specific patient populations (ERSR, Opioid, Behavioural health). These restrictions are waived in time of national health emergency</w:t>
      </w:r>
    </w:p>
    <w:p w:rsidR="00000000" w:rsidDel="00000000" w:rsidP="00000000" w:rsidRDefault="00000000" w:rsidRPr="00000000" w14:paraId="0000003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Online Prescribing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Prescribe medications as you normally would</w:t>
      </w:r>
    </w:p>
    <w:p w:rsidR="00000000" w:rsidDel="00000000" w:rsidP="00000000" w:rsidRDefault="00000000" w:rsidRPr="00000000" w14:paraId="00000035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Garamond" w:cs="Garamond" w:eastAsia="Garamond" w:hAnsi="Garamond"/>
          <w:b w:val="1"/>
          <w:color w:val="99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990000"/>
          <w:sz w:val="24"/>
          <w:szCs w:val="24"/>
          <w:rtl w:val="0"/>
        </w:rPr>
        <w:t xml:space="preserve">Reimbursement (See below in resource section)</w:t>
      </w:r>
    </w:p>
    <w:p w:rsidR="00000000" w:rsidDel="00000000" w:rsidP="00000000" w:rsidRDefault="00000000" w:rsidRPr="00000000" w14:paraId="00000037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Federal (Medicaid)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Medicaid guidelines have been published review them for eligibility</w:t>
      </w:r>
    </w:p>
    <w:p w:rsidR="00000000" w:rsidDel="00000000" w:rsidP="00000000" w:rsidRDefault="00000000" w:rsidRPr="00000000" w14:paraId="0000003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State-level: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Significant variation exists between states, review your state guidelines for eligibility</w:t>
      </w:r>
    </w:p>
    <w:p w:rsidR="00000000" w:rsidDel="00000000" w:rsidP="00000000" w:rsidRDefault="00000000" w:rsidRPr="00000000" w14:paraId="00000039">
      <w:pPr>
        <w:rPr>
          <w:rFonts w:ascii="Garamond" w:cs="Garamond" w:eastAsia="Garamond" w:hAnsi="Garamond"/>
          <w:b w:val="1"/>
          <w:color w:val="1c4587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Private Payers: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Significant variation exists between private payers, review for eligibility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Garamond" w:cs="Garamond" w:eastAsia="Garamond" w:hAnsi="Garamond"/>
          <w:b w:val="1"/>
          <w:color w:val="1c458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Garamond" w:cs="Garamond" w:eastAsia="Garamond" w:hAnsi="Garamond"/>
          <w:b w:val="1"/>
          <w:color w:val="1c4587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color w:val="1c4587"/>
          <w:sz w:val="32"/>
          <w:szCs w:val="32"/>
          <w:rtl w:val="0"/>
        </w:rPr>
        <w:t xml:space="preserve">Telemedicine Exam</w:t>
      </w:r>
    </w:p>
    <w:p w:rsidR="00000000" w:rsidDel="00000000" w:rsidP="00000000" w:rsidRDefault="00000000" w:rsidRPr="00000000" w14:paraId="0000003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Initial Salutation: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4"/>
          <w:szCs w:val="24"/>
          <w:rtl w:val="0"/>
        </w:rPr>
        <w:t xml:space="preserve">Identify yourself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I am “Dr. XXX” would to initiate a telehealth visit from “Group/Organization”</w:t>
      </w:r>
    </w:p>
    <w:p w:rsidR="00000000" w:rsidDel="00000000" w:rsidP="00000000" w:rsidRDefault="00000000" w:rsidRPr="00000000" w14:paraId="0000003E">
      <w:pPr>
        <w:ind w:left="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4"/>
          <w:szCs w:val="24"/>
          <w:rtl w:val="0"/>
        </w:rPr>
        <w:t xml:space="preserve">Identify Patient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Use a two-factor identifier, such as patient’s name and date of birth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Before we start, Can I confirm this is “John Doe” can you please give me your DOB</w:t>
      </w:r>
    </w:p>
    <w:p w:rsidR="00000000" w:rsidDel="00000000" w:rsidP="00000000" w:rsidRDefault="00000000" w:rsidRPr="00000000" w14:paraId="00000040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Consent: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Best practice to obtain consent however it is a requirement to get consent</w:t>
      </w:r>
    </w:p>
    <w:p w:rsidR="00000000" w:rsidDel="00000000" w:rsidP="00000000" w:rsidRDefault="00000000" w:rsidRPr="00000000" w14:paraId="00000042">
      <w:pPr>
        <w:ind w:left="0" w:firstLine="72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Consent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“Do you consent to be seen my me via this telehealth platform”</w:t>
      </w:r>
    </w:p>
    <w:p w:rsidR="00000000" w:rsidDel="00000000" w:rsidP="00000000" w:rsidRDefault="00000000" w:rsidRPr="00000000" w14:paraId="00000043">
      <w:pPr>
        <w:ind w:left="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What is patient cannot consent (for e.g. Aphasic, Demented)</w:t>
      </w:r>
    </w:p>
    <w:p w:rsidR="00000000" w:rsidDel="00000000" w:rsidP="00000000" w:rsidRDefault="00000000" w:rsidRPr="00000000" w14:paraId="00000044">
      <w:pPr>
        <w:ind w:left="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Get consent from family if available</w:t>
        <w:tab/>
      </w:r>
    </w:p>
    <w:p w:rsidR="00000000" w:rsidDel="00000000" w:rsidP="00000000" w:rsidRDefault="00000000" w:rsidRPr="00000000" w14:paraId="00000045">
      <w:pPr>
        <w:ind w:left="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Consent implied if no one is available to consent in good faith</w:t>
      </w:r>
    </w:p>
    <w:p w:rsidR="00000000" w:rsidDel="00000000" w:rsidP="00000000" w:rsidRDefault="00000000" w:rsidRPr="00000000" w14:paraId="00000046">
      <w:pPr>
        <w:ind w:left="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4"/>
          <w:szCs w:val="24"/>
          <w:rtl w:val="0"/>
        </w:rPr>
        <w:t xml:space="preserve">Telemedicine Exam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8">
      <w:pPr>
        <w:ind w:left="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General guidelines</w:t>
      </w:r>
    </w:p>
    <w:p w:rsidR="00000000" w:rsidDel="00000000" w:rsidP="00000000" w:rsidRDefault="00000000" w:rsidRPr="00000000" w14:paraId="00000049">
      <w:pPr>
        <w:ind w:left="0" w:firstLine="72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Be courteous and patient</w:t>
      </w:r>
    </w:p>
    <w:p w:rsidR="00000000" w:rsidDel="00000000" w:rsidP="00000000" w:rsidRDefault="00000000" w:rsidRPr="00000000" w14:paraId="0000004A">
      <w:pPr>
        <w:ind w:left="0" w:firstLine="72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Be careful to maintain patient modesty</w:t>
      </w:r>
    </w:p>
    <w:p w:rsidR="00000000" w:rsidDel="00000000" w:rsidP="00000000" w:rsidRDefault="00000000" w:rsidRPr="00000000" w14:paraId="0000004B">
      <w:pPr>
        <w:ind w:left="0" w:firstLine="72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Make sure you are in private location to maintain patient privacy</w:t>
      </w:r>
    </w:p>
    <w:p w:rsidR="00000000" w:rsidDel="00000000" w:rsidP="00000000" w:rsidRDefault="00000000" w:rsidRPr="00000000" w14:paraId="0000004C">
      <w:pPr>
        <w:ind w:left="0" w:firstLine="72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Make sure only authorized personnel is at originating site at the time of exam</w:t>
      </w:r>
    </w:p>
    <w:p w:rsidR="00000000" w:rsidDel="00000000" w:rsidP="00000000" w:rsidRDefault="00000000" w:rsidRPr="00000000" w14:paraId="0000004D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Limitations of Clinical Exam</w:t>
      </w:r>
    </w:p>
    <w:p w:rsidR="00000000" w:rsidDel="00000000" w:rsidP="00000000" w:rsidRDefault="00000000" w:rsidRPr="00000000" w14:paraId="0000004E">
      <w:pPr>
        <w:ind w:firstLine="72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There are clear limitations and documents as such.</w:t>
      </w:r>
    </w:p>
    <w:p w:rsidR="00000000" w:rsidDel="00000000" w:rsidP="00000000" w:rsidRDefault="00000000" w:rsidRPr="00000000" w14:paraId="0000004F">
      <w:pPr>
        <w:ind w:firstLine="72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Attestation: Limited exam performed over telehealth platform </w:t>
      </w:r>
    </w:p>
    <w:p w:rsidR="00000000" w:rsidDel="00000000" w:rsidP="00000000" w:rsidRDefault="00000000" w:rsidRPr="00000000" w14:paraId="00000050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Utilize patient provided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72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Temperature, Home blood pressure machine</w:t>
      </w:r>
    </w:p>
    <w:p w:rsidR="00000000" w:rsidDel="00000000" w:rsidP="00000000" w:rsidRDefault="00000000" w:rsidRPr="00000000" w14:paraId="00000052">
      <w:pPr>
        <w:ind w:firstLine="72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Over the counter dipstick test</w:t>
      </w:r>
    </w:p>
    <w:p w:rsidR="00000000" w:rsidDel="00000000" w:rsidP="00000000" w:rsidRDefault="00000000" w:rsidRPr="00000000" w14:paraId="00000053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Special situations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72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Telestroke - Use provided NIHSS cards with healthcare member at bedside</w:t>
      </w:r>
    </w:p>
    <w:p w:rsidR="00000000" w:rsidDel="00000000" w:rsidP="00000000" w:rsidRDefault="00000000" w:rsidRPr="00000000" w14:paraId="00000055">
      <w:pPr>
        <w:ind w:left="0" w:firstLine="72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Primary Care/Pulmonology - Digital Stethoscope addition</w:t>
      </w:r>
    </w:p>
    <w:p w:rsidR="00000000" w:rsidDel="00000000" w:rsidP="00000000" w:rsidRDefault="00000000" w:rsidRPr="00000000" w14:paraId="00000056">
      <w:pPr>
        <w:ind w:left="0" w:firstLine="72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72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Garamond" w:cs="Garamond" w:eastAsia="Garamond" w:hAnsi="Garamond"/>
          <w:b w:val="1"/>
          <w:i w:val="1"/>
          <w:color w:val="38761d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color w:val="1c4587"/>
          <w:sz w:val="32"/>
          <w:szCs w:val="32"/>
          <w:rtl w:val="0"/>
        </w:rPr>
        <w:t xml:space="preserve">Telemedicine Coding - </w:t>
      </w:r>
      <w:r w:rsidDel="00000000" w:rsidR="00000000" w:rsidRPr="00000000">
        <w:rPr>
          <w:rFonts w:ascii="Garamond" w:cs="Garamond" w:eastAsia="Garamond" w:hAnsi="Garamond"/>
          <w:b w:val="1"/>
          <w:color w:val="1c4587"/>
          <w:sz w:val="32"/>
          <w:szCs w:val="32"/>
          <w:rtl w:val="0"/>
        </w:rPr>
        <w:t xml:space="preserve">A Guide for Physicians -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38761d"/>
          <w:sz w:val="32"/>
          <w:szCs w:val="32"/>
          <w:rtl w:val="0"/>
        </w:rPr>
        <w:t xml:space="preserve">Inpatient</w:t>
      </w:r>
    </w:p>
    <w:p w:rsidR="00000000" w:rsidDel="00000000" w:rsidP="00000000" w:rsidRDefault="00000000" w:rsidRPr="00000000" w14:paraId="0000005A">
      <w:pPr>
        <w:jc w:val="center"/>
        <w:rPr>
          <w:rFonts w:ascii="Garamond" w:cs="Garamond" w:eastAsia="Garamond" w:hAnsi="Garamond"/>
          <w:b w:val="1"/>
          <w:i w:val="1"/>
          <w:color w:val="38761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5535"/>
        <w:gridCol w:w="2385"/>
        <w:tblGridChange w:id="0">
          <w:tblGrid>
            <w:gridCol w:w="2160"/>
            <w:gridCol w:w="5535"/>
            <w:gridCol w:w="23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Type of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Defining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CPT Code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Inpatient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Initial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Real time (Live) Audio &amp; Video in emergency/Inpatient setting for NEW patients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G0425 - 30 Mins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G0426 - 50 Mins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G0427 - 70 Mins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Inpatient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Subsequent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Real time (Live) Audio &amp; Video in emergency/Inpatient setting for ESTABLISHED  patients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G0406 - 15 mins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G0407 - 25 mins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G0408 - 35 mins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Critical Care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Prolonged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Real time (Live) Audio &amp; Video in emergency/Inpatient setting for NEW/ESTABLISHED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G0508 - 60 mins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G0509 - 50 mins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Inpatient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Pharmacy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Telehealth inpatient pharmacy management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G0459</w:t>
            </w:r>
          </w:p>
        </w:tc>
      </w:tr>
    </w:tbl>
    <w:p w:rsidR="00000000" w:rsidDel="00000000" w:rsidP="00000000" w:rsidRDefault="00000000" w:rsidRPr="00000000" w14:paraId="00000073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274e13"/>
          <w:sz w:val="28"/>
          <w:szCs w:val="28"/>
          <w:rtl w:val="0"/>
        </w:rPr>
        <w:t xml:space="preserve">Documentation Requirements for Time Based Billing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at least </w:t>
      </w:r>
      <w:r w:rsidDel="00000000" w:rsidR="00000000" w:rsidRPr="00000000">
        <w:rPr>
          <w:rFonts w:ascii="Garamond" w:cs="Garamond" w:eastAsia="Garamond" w:hAnsi="Garamond"/>
          <w:color w:val="990000"/>
          <w:sz w:val="28"/>
          <w:szCs w:val="28"/>
          <w:rtl w:val="0"/>
        </w:rPr>
        <w:t xml:space="preserve">three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components</w:t>
      </w:r>
    </w:p>
    <w:p w:rsidR="00000000" w:rsidDel="00000000" w:rsidP="00000000" w:rsidRDefault="00000000" w:rsidRPr="00000000" w14:paraId="00000075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990000"/>
          <w:sz w:val="28"/>
          <w:szCs w:val="28"/>
          <w:rtl w:val="0"/>
        </w:rPr>
        <w:t xml:space="preserve">Why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: Chief complaint and brief HPI </w:t>
      </w:r>
    </w:p>
    <w:p w:rsidR="00000000" w:rsidDel="00000000" w:rsidP="00000000" w:rsidRDefault="00000000" w:rsidRPr="00000000" w14:paraId="00000076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990000"/>
          <w:sz w:val="28"/>
          <w:szCs w:val="28"/>
          <w:rtl w:val="0"/>
        </w:rPr>
        <w:t xml:space="preserve">What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: Face to face encounter via real time audio/video (Live)</w:t>
      </w:r>
    </w:p>
    <w:p w:rsidR="00000000" w:rsidDel="00000000" w:rsidP="00000000" w:rsidRDefault="00000000" w:rsidRPr="00000000" w14:paraId="00000077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990000"/>
          <w:sz w:val="28"/>
          <w:szCs w:val="28"/>
          <w:rtl w:val="0"/>
        </w:rPr>
        <w:t xml:space="preserve">Time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: How much time you spent delivering and coordinating care. </w:t>
      </w:r>
    </w:p>
    <w:p w:rsidR="00000000" w:rsidDel="00000000" w:rsidP="00000000" w:rsidRDefault="00000000" w:rsidRPr="00000000" w14:paraId="00000078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Technically following line satisfies billing criteria</w:t>
      </w:r>
    </w:p>
    <w:p w:rsidR="00000000" w:rsidDel="00000000" w:rsidP="00000000" w:rsidRDefault="00000000" w:rsidRPr="00000000" w14:paraId="00000079">
      <w:pPr>
        <w:ind w:firstLine="72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“58M with right-sided weakness NIHSS 4 spent 40 mins” </w:t>
      </w:r>
    </w:p>
    <w:p w:rsidR="00000000" w:rsidDel="00000000" w:rsidP="00000000" w:rsidRDefault="00000000" w:rsidRPr="00000000" w14:paraId="0000007A">
      <w:pPr>
        <w:ind w:left="0" w:firstLine="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However, documentation is not only done for billing; but rather also for communication and continuity of care. So please be brief, concise and poignant in your documentation. </w:t>
      </w:r>
    </w:p>
    <w:p w:rsidR="00000000" w:rsidDel="00000000" w:rsidP="00000000" w:rsidRDefault="00000000" w:rsidRPr="00000000" w14:paraId="0000007B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Garamond" w:cs="Garamond" w:eastAsia="Garamond" w:hAnsi="Garamond"/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Garamond" w:cs="Garamond" w:eastAsia="Garamond" w:hAnsi="Garamond"/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274e13"/>
          <w:sz w:val="36"/>
          <w:szCs w:val="36"/>
          <w:rtl w:val="0"/>
        </w:rPr>
        <w:t xml:space="preserve">Outpatient Face-to-Face</w:t>
      </w:r>
    </w:p>
    <w:tbl>
      <w:tblPr>
        <w:tblStyle w:val="Table2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5775"/>
        <w:gridCol w:w="2235"/>
        <w:tblGridChange w:id="0">
          <w:tblGrid>
            <w:gridCol w:w="2070"/>
            <w:gridCol w:w="5775"/>
            <w:gridCol w:w="22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Type of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Defining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CPT Code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Outpatient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Initial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Real time (Live) Audio &amp; Video in an office/outpatient setting for NEW patients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99201 - 10 mins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99202 - 20 mins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99203 - 30 mins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99204 - 45 mins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99205 - 60 mins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Outpatient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Subsequent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Real time (Live) Audio &amp; Video in an office/outpatient setting for ESTABLISHED patients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99211 - 05 mins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99212 - 10 mins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99213 - 15 mins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99214 - 25 mins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99215 - 40 mins</w:t>
            </w:r>
          </w:p>
        </w:tc>
      </w:tr>
    </w:tbl>
    <w:p w:rsidR="00000000" w:rsidDel="00000000" w:rsidP="00000000" w:rsidRDefault="00000000" w:rsidRPr="00000000" w14:paraId="00000095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Garamond" w:cs="Garamond" w:eastAsia="Garamond" w:hAnsi="Garamond"/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274e13"/>
          <w:sz w:val="36"/>
          <w:szCs w:val="36"/>
          <w:rtl w:val="0"/>
        </w:rPr>
        <w:t xml:space="preserve">Outpatient - NON Face-to-face</w:t>
      </w:r>
    </w:p>
    <w:tbl>
      <w:tblPr>
        <w:tblStyle w:val="Table3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5685"/>
        <w:gridCol w:w="2340"/>
        <w:tblGridChange w:id="0">
          <w:tblGrid>
            <w:gridCol w:w="2055"/>
            <w:gridCol w:w="5685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Type of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Defining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CPT Code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Phone Call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Phone call UNRELATED to past (&gt;7days) and future (soonest apt)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99441 - &lt; 10 mins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99442 - &lt; 20 mins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99443 - &lt; 30 mins</w:t>
            </w:r>
          </w:p>
        </w:tc>
      </w:tr>
      <w:tr>
        <w:trPr>
          <w:trHeight w:val="4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E.g; Established patient with new complain which does not require an office visit</w:t>
            </w:r>
          </w:p>
        </w:tc>
      </w:tr>
    </w:tbl>
    <w:p w:rsidR="00000000" w:rsidDel="00000000" w:rsidP="00000000" w:rsidRDefault="00000000" w:rsidRPr="00000000" w14:paraId="000000A4">
      <w:pPr>
        <w:rPr>
          <w:rFonts w:ascii="Garamond" w:cs="Garamond" w:eastAsia="Garamond" w:hAnsi="Garamond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5715"/>
        <w:gridCol w:w="2325"/>
        <w:tblGridChange w:id="0">
          <w:tblGrid>
            <w:gridCol w:w="2040"/>
            <w:gridCol w:w="5715"/>
            <w:gridCol w:w="2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eVisit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Communication b/w patient-initiated communications and provider through an secure online portal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99421 - &lt; 10 mins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99422 - &lt; 20 mins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99423 - &gt; 21 mins</w:t>
            </w:r>
          </w:p>
        </w:tc>
      </w:tr>
      <w:tr>
        <w:trPr>
          <w:trHeight w:val="4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E.g; Prescribed Topiramate, how to take meds; second question about GI upset. Cumulatively you spent 15 mins via secure chat bill 99422 during the 7 days. In all types of locations including the patient’s home, and in all areas. Know when not to bill online services - Followed by E/M services or post procedure check-in</w:t>
            </w:r>
          </w:p>
        </w:tc>
      </w:tr>
    </w:tbl>
    <w:p w:rsidR="00000000" w:rsidDel="00000000" w:rsidP="00000000" w:rsidRDefault="00000000" w:rsidRPr="00000000" w14:paraId="000000AD">
      <w:pPr>
        <w:jc w:val="left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274e13"/>
          <w:sz w:val="28"/>
          <w:szCs w:val="28"/>
          <w:rtl w:val="0"/>
        </w:rPr>
        <w:t xml:space="preserve">Originating Site Facility Fee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- Q3014 (the telehealth originating site facility fee) will be 80% of the lesser of the actual charge or $26.56</w:t>
      </w:r>
    </w:p>
    <w:p w:rsidR="00000000" w:rsidDel="00000000" w:rsidP="00000000" w:rsidRDefault="00000000" w:rsidRPr="00000000" w14:paraId="000000AE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274e13"/>
          <w:sz w:val="28"/>
          <w:szCs w:val="28"/>
          <w:rtl w:val="0"/>
        </w:rPr>
        <w:t xml:space="preserve">Virtual Check-in</w:t>
      </w:r>
      <w:r w:rsidDel="00000000" w:rsidR="00000000" w:rsidRPr="00000000">
        <w:rPr>
          <w:rFonts w:ascii="Garamond" w:cs="Garamond" w:eastAsia="Garamond" w:hAnsi="Garamond"/>
          <w:i w:val="1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G2012- This must be a patient-initiated service</w:t>
      </w:r>
    </w:p>
    <w:p w:rsidR="00000000" w:rsidDel="00000000" w:rsidP="00000000" w:rsidRDefault="00000000" w:rsidRPr="00000000" w14:paraId="000000AF">
      <w:pPr>
        <w:rPr>
          <w:rFonts w:ascii="Garamond" w:cs="Garamond" w:eastAsia="Garamond" w:hAnsi="Garamond"/>
          <w:color w:val="99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jc w:val="center"/>
      <w:rPr>
        <w:rFonts w:ascii="Garamond" w:cs="Garamond" w:eastAsia="Garamond" w:hAnsi="Garamond"/>
        <w:sz w:val="20"/>
        <w:szCs w:val="20"/>
      </w:rPr>
    </w:pPr>
    <w:r w:rsidDel="00000000" w:rsidR="00000000" w:rsidRPr="00000000">
      <w:rPr>
        <w:rFonts w:ascii="Garamond" w:cs="Garamond" w:eastAsia="Garamond" w:hAnsi="Garamond"/>
        <w:sz w:val="20"/>
        <w:szCs w:val="20"/>
        <w:rtl w:val="0"/>
      </w:rPr>
      <w:t xml:space="preserve">VeeMed - Telemedicine Implementation Guideline (Last Updated 4-1-2020)</w:t>
    </w:r>
  </w:p>
  <w:p w:rsidR="00000000" w:rsidDel="00000000" w:rsidP="00000000" w:rsidRDefault="00000000" w:rsidRPr="00000000" w14:paraId="000000B2">
    <w:pPr>
      <w:jc w:val="center"/>
      <w:rPr>
        <w:rFonts w:ascii="Garamond" w:cs="Garamond" w:eastAsia="Garamond" w:hAnsi="Garamond"/>
        <w:sz w:val="20"/>
        <w:szCs w:val="20"/>
      </w:rPr>
    </w:pPr>
    <w:r w:rsidDel="00000000" w:rsidR="00000000" w:rsidRPr="00000000">
      <w:rPr>
        <w:rFonts w:ascii="Garamond" w:cs="Garamond" w:eastAsia="Garamond" w:hAnsi="Garamond"/>
        <w:sz w:val="20"/>
        <w:szCs w:val="20"/>
        <w:rtl w:val="0"/>
      </w:rPr>
      <w:t xml:space="preserve">https://veemed.com/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jc w:val="center"/>
      <w:rPr>
        <w:rFonts w:ascii="Garamond" w:cs="Garamond" w:eastAsia="Garamond" w:hAnsi="Garamond"/>
        <w:sz w:val="20"/>
        <w:szCs w:val="20"/>
      </w:rPr>
    </w:pPr>
    <w:r w:rsidDel="00000000" w:rsidR="00000000" w:rsidRPr="00000000">
      <w:rPr>
        <w:rFonts w:ascii="Garamond" w:cs="Garamond" w:eastAsia="Garamond" w:hAnsi="Garamond"/>
        <w:sz w:val="28"/>
        <w:szCs w:val="28"/>
      </w:rPr>
      <w:drawing>
        <wp:inline distB="114300" distT="114300" distL="114300" distR="114300">
          <wp:extent cx="1214438" cy="3571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4438" cy="357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